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/>
      </w:pPr>
      <w:bookmarkStart w:colFirst="0" w:colLast="0" w:name="_hinr4wpkb57e" w:id="0"/>
      <w:bookmarkEnd w:id="0"/>
      <w:r w:rsidDel="00000000" w:rsidR="00000000" w:rsidRPr="00000000">
        <w:rPr>
          <w:b w:val="1"/>
          <w:sz w:val="46"/>
          <w:szCs w:val="46"/>
        </w:rPr>
        <w:drawing>
          <wp:inline distB="114300" distT="114300" distL="114300" distR="114300">
            <wp:extent cx="2804908" cy="28049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908" cy="2804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6"/>
          <w:szCs w:val="46"/>
          <w:rtl w:val="0"/>
        </w:rPr>
        <w:t xml:space="preserve">Safeguarding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Effective Date: 1st May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lysz32o1h1f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Policy Statement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The Elemental House, we are fully committed to safeguarding and promoting the welfare of all children, young people, and vulnerable adults who engage with our services.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believe that everyone has the right to be protected from harm, regardless of age, disability, gender, race, religion, belief, or background.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take our responsibilities seriously and work in line with UK law and statutory guidance to create a safe, welcoming, and supportive environment for all.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xyo6jzf2izd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Purpose of This Policy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explains: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How we safeguard children, young people, and vulnerable adults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responsibilities of staff and volunteers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procedures we follow if there are concerns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 we create a safe culture through prevention and training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vjxiaqrs1ps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Legal Framework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safeguarding policy is based on and complies with: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Children Act 1989 and 2004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Working Together to Safeguard Children (2018)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Keeping Children Safe in Education (2024)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Care Act 2014 (for adults at risk)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 GDPR and the Data Protection Act 2018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Equality Act 2010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recognise our duty of care to safeguard all participants who engage with The Elemental House activities.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45t7aj3ktca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Scope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applies to: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online and in-person activities run by The Elemental House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 staff, volunteers, contractors, and visitors working with or on behalf of The Elemental House</w:t>
        <w:br w:type="textWrapping"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cb57komz478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Safeguarding Responsibilities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Designated Safeguarding Lead (DSL):</w:t>
        <w:br w:type="textWrapping"/>
        <w:br w:type="textWrapping"/>
        <w:t xml:space="preserve"> Tanya Waterhouse (Owner, The Elemental House)</w:t>
        <w:br w:type="textWrapping"/>
        <w:br w:type="textWrapping"/>
        <w:t xml:space="preserve"> Email: elementalhouse@icloud.com</w:t>
        <w:br w:type="textWrapping"/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DSL is responsible for: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Receiving and responding to safeguarding concerns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Making referrals to statutory services if necessary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Keeping secure records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Ensuring safeguarding training is undertaken regularly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staff and volunteers must: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Understand and follow this policy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Recognise signs of possible abuse or neglect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Report any concerns immediately to the DSL</w:t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fu0lxqt1fa6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Recognising Abuse and Neglect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Abuse can happen in different ways, including: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Physical abuse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Emotional abuse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Sexual abuse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Neglect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Exploitation (including online abuse)</w:t>
        <w:br w:type="textWrapping"/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alert to the signs and symptoms of abuse, including behavioural changes, unexplained injuries, withdrawal, or distress.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also recognise specific safeguarding issues such as: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Bullying (including online/cyberbullying)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Radicalisation and extremism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Domestic abuse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Peer-on-peer abuse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Mental health concerns</w:t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7tk584nufi5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Responding to Safeguarding Concerns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anyone working with The Elemental House has a safeguarding concern: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Recognise: Stay calm. Take the concern seriously.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Respond: Listen carefully without judgement. Do not promise confidentiality.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Report: Share concerns immediately with the DSL.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Record: Write a clear and factual record (date, time, what was said, what you observed).</w:t>
        <w:br w:type="textWrapping"/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someone is at immediate risk of harm, call 999.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will seek advice and/or refer concerns to: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Local Authority Children’s Social Care Services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Local Authority Adult Safeguarding Services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Police (if necessary)</w:t>
        <w:br w:type="textWrapping"/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Parental consent is not needed before making a safeguarding referral if a child is believed to be at risk.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kt14tvmeuk1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Safer Recruitment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ensure only safe and suitable people work with us: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staff and volunteers will be required to have an enhanced DBS (Disclosure and Barring Service) check, where appropriate.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References will be checked where applicable.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Safeguarding expectations will be discussed during recruitment and induction.</w:t>
        <w:br w:type="textWrapping"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9msgrrbjp41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9. Online Safety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are committed to keeping children and young people safe online during our virtual sessions by: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Using secure platforms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Ensuring all sessions are hosted by trained staff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Providing clear behaviour expectations to learners and parents/carers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Monitoring for any inappropriate behaviour</w:t>
        <w:br w:type="textWrapping"/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k81ldfuzt2k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10. Training and Awareness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staff and volunteers will complete safeguarding training appropriate to their role.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Refresher training will be undertaken regularly (at least every two years).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Safeguarding will be part of team discussions and ongoing professional development.</w:t>
        <w:br w:type="textWrapping"/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399b3cjdvh6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11. Confidentiality and Information Sharing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handle information securely and respectfully.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only share information about a child, young person, or vulnerable adult when: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 is necessary to protect them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is required by law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is in their best interests</w:t>
        <w:br w:type="textWrapping"/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personal information will be processed in accordance with UK GDPR and our Privacy Policy.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czomwfssu8i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12. Whistleblowing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any staff, volunteer, or learner is concerned about the behaviour of someone within The Elemental House or any safeguarding practice, they are encouraged to report this without fear of reprisal.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Concerns can be raised confidentially with the DSL or externally with: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NSPCC Whistleblowing Helpline: 0800 028 0285</w:t>
        <w:br w:type="textWrapping"/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ybu5l6pqx3p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13. Monitoring and Review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will be reviewed at least once a year or sooner if there are any changes to legislation, guidance, or incidents requiring updates.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Next review date: [Insert one year after effective date].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oy8n18e16nn5" w:id="14"/>
      <w:bookmarkEnd w:id="14"/>
      <w:r w:rsidDel="00000000" w:rsidR="00000000" w:rsidRPr="00000000">
        <w:rPr>
          <w:b w:val="1"/>
          <w:sz w:val="46"/>
          <w:szCs w:val="46"/>
          <w:rtl w:val="0"/>
        </w:rPr>
        <w:t xml:space="preserve">Contact for Safeguarding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Designated Safeguarding Lead (DSL):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Tanya Waterhouse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Email: elementalhouse@icloud.com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